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CC0000"/>
          <w:sz w:val="48"/>
          <w:szCs w:val="48"/>
        </w:rPr>
        <w:t xml:space="preserve">ОБРАЗЕЦ</w:t>
      </w:r>
    </w:p>
    <w:p>
      <w:pPr>
        <w:pStyle w:val="Title"/>
      </w:pPr>
      <w:r>
        <w:t xml:space="preserve">Технические условия (СТО): полутвёрдый сыр — ОБРАЗЕЦ</w:t>
      </w:r>
    </w:p>
    <w:p>
      <w:r>
        <w:rPr>
          <w:i/>
          <w:iCs/>
        </w:rPr>
        <w:t xml:space="preserve">Организация: ООО «Молочные традиции» (образец)</w:t>
      </w:r>
    </w:p>
    <w:p>
      <w:pPr>
        <w:pStyle w:val="Heading1"/>
      </w:pPr>
      <w:r>
        <w:t xml:space="preserve">1. Область применения</w:t>
      </w:r>
    </w:p>
    <w:p>
      <w:r>
        <w:t xml:space="preserve">Настоящие ТУ распространяются на «полутвёрдый сыр» (вводная часть). Продукция предназначена для реализации населению и предприятиям торговли/общественного питания.</w:t>
      </w:r>
    </w:p>
    <w:p>
      <w:pPr>
        <w:pStyle w:val="Heading1"/>
      </w:pPr>
      <w:r>
        <w:t xml:space="preserve">2. Технические требования</w:t>
      </w:r>
    </w:p>
    <w:p>
      <w:r>
        <w:t xml:space="preserve">Продукция должна соответствовать требованиям ТР ТС 021/2011 и ТР ТС 033/2013. Основные показатели: массовая доля жира в сухом веществе — 45–50 %; массовая доля влаги — не более 44 %; массовая доля поваренной соли — 1,5–2,5 %.</w:t>
      </w:r>
    </w:p>
    <w:p>
      <w:pPr>
        <w:pStyle w:val="Heading1"/>
      </w:pPr>
      <w:r>
        <w:t xml:space="preserve">3. Требования безопасности</w:t>
      </w:r>
    </w:p>
    <w:p>
      <w:r>
        <w:t xml:space="preserve">Требования безопасности продукции и производственных процессов согласно ТР ТС 021/2011 и ТР ТС 033/2013; микробиологические показатели безопасности: БГКП (колиформы) — не допускаются в 0,001 г; S. aureus — не более 500 КОЕ/г; патогенные, в т.ч. сальмонеллы — не допускаются в 25 г; L. monocytogenes — не допускается в 25 г.</w:t>
      </w:r>
    </w:p>
    <w:p>
      <w:pPr>
        <w:pStyle w:val="Heading1"/>
      </w:pPr>
      <w:r>
        <w:t xml:space="preserve">4. Требования охраны окружающей среды</w:t>
      </w:r>
    </w:p>
    <w:p>
      <w:r>
        <w:t xml:space="preserve">Требования к обращению с отходами производства (сыворотка, промывные воды), охране атмосферного воздуха и водных объектов при эксплуатации.</w:t>
      </w:r>
    </w:p>
    <w:p>
      <w:pPr>
        <w:pStyle w:val="Heading1"/>
      </w:pPr>
      <w:r>
        <w:t xml:space="preserve">5. Правила приёмки</w:t>
      </w:r>
    </w:p>
    <w:p>
      <w:r>
        <w:t xml:space="preserve">Правила приёмки по партиям, порядок и объём приёмо-сдаточных и периодических испытаний, отбор проб.</w:t>
      </w:r>
    </w:p>
    <w:p>
      <w:pPr>
        <w:pStyle w:val="Heading1"/>
      </w:pPr>
      <w:r>
        <w:t xml:space="preserve">6. Методы контроля</w:t>
      </w:r>
    </w:p>
    <w:p>
      <w:r>
        <w:t xml:space="preserve">Методы испытаний по органолептическим, физико-химическим и микробиологическим показателям согласно ТР ТС 033/2013 и действующим стандартам на методы контроля.</w:t>
      </w:r>
    </w:p>
    <w:p>
      <w:pPr>
        <w:pStyle w:val="Heading1"/>
      </w:pPr>
      <w:r>
        <w:t xml:space="preserve">7. Транспортирование и хранение</w:t>
      </w:r>
    </w:p>
    <w:p>
      <w:r>
        <w:t xml:space="preserve">Условия транспортирования и хранения, температурный режим и сроки годности: от 30 до 120 суток при 2–8 °C в зависимости от вида и упаковки (уточняется по ТИ).</w:t>
      </w:r>
    </w:p>
    <w:p>
      <w:pPr>
        <w:pStyle w:val="Heading1"/>
      </w:pPr>
      <w:r>
        <w:t xml:space="preserve">8. Указания по эксплуатации (применению)</w:t>
      </w:r>
    </w:p>
    <w:p>
      <w:r>
        <w:t xml:space="preserve">Указания по применению, реализации и подготовке продукции к употреблению потребителем.</w:t>
      </w:r>
    </w:p>
    <w:p>
      <w:pPr>
        <w:pStyle w:val="Heading1"/>
      </w:pPr>
      <w:r>
        <w:t xml:space="preserve">9. Гарантии изготовителя</w:t>
      </w:r>
    </w:p>
    <w:p>
      <w:r>
        <w:t xml:space="preserve">Изготовитель гарантирует соответствие продукции требованиям настоящих ТУ при соблюдении условий транспортирования и хранения.</w:t>
      </w:r>
    </w:p>
    <w:p>
      <w:pPr>
        <w:pStyle w:val="Heading1"/>
      </w:pPr>
      <w:r>
        <w:t xml:space="preserve">10. Маркировка и упаковка</w:t>
      </w:r>
    </w:p>
    <w:p>
      <w:r>
        <w:t xml:space="preserve">Маркировка согласно ТР ТС 022/2011, упаковка согласно ТР ТС 005/2011.</w:t>
      </w:r>
    </w:p>
    <w:p>
      <w:pPr>
        <w:pStyle w:val="Heading1"/>
      </w:pPr>
      <w:r>
        <w:t xml:space="preserve">Физико-химические показатели</w:t>
      </w:r>
    </w:p>
    <w:p>
      <w:r>
        <w:t xml:space="preserve">• массовая доля жира в сухом веществе: 45–50 %</w:t>
      </w:r>
    </w:p>
    <w:p>
      <w:r>
        <w:t xml:space="preserve">• массовая доля влаги: не более 44 %</w:t>
      </w:r>
    </w:p>
    <w:p>
      <w:r>
        <w:t xml:space="preserve">• массовая доля поваренной соли: 1,5–2,5 %</w:t>
      </w:r>
    </w:p>
    <w:p>
      <w:pPr>
        <w:pStyle w:val="Heading1"/>
      </w:pPr>
      <w:r>
        <w:t xml:space="preserve">Микробиологические показатели безопасности</w:t>
      </w:r>
    </w:p>
    <w:p>
      <w:r>
        <w:t xml:space="preserve">• БГКП (колиформы): не допускаются в 0,001 г</w:t>
      </w:r>
    </w:p>
    <w:p>
      <w:r>
        <w:t xml:space="preserve">• S. aureus: не более 500 КОЕ/г</w:t>
      </w:r>
    </w:p>
    <w:p>
      <w:r>
        <w:t xml:space="preserve">• патогенные, в т.ч. сальмонеллы: не допускаются в 25 г</w:t>
      </w:r>
    </w:p>
    <w:p>
      <w:r>
        <w:t xml:space="preserve">• L. monocytogenes: не допускается в 25 г</w:t>
      </w:r>
    </w:p>
    <w:p>
      <w:pPr>
        <w:pStyle w:val="Heading1"/>
      </w:pPr>
      <w:r>
        <w:t xml:space="preserve">Нормативные ссылки</w:t>
      </w:r>
    </w:p>
    <w:p>
      <w:r>
        <w:t xml:space="preserve">— ТР ТС 021/2011</w:t>
      </w:r>
    </w:p>
    <w:p>
      <w:r>
        <w:t xml:space="preserve">— ТР ТС 033/2013</w:t>
      </w:r>
    </w:p>
    <w:p>
      <w:r>
        <w:t xml:space="preserve">— ТР ТС 022/2011</w:t>
      </w:r>
    </w:p>
    <w:p>
      <w:r>
        <w:t xml:space="preserve">— ТР ТС 005/2011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666666"/>
        <w:sz w:val="16"/>
        <w:szCs w:val="16"/>
      </w:rPr>
      <w:t xml:space="preserve">Проект документа подготовлен сервисом AI Технолог (ai.milberg.ru). Утверждается и вводится в действие заказчиком.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2026-08-17T22:03:09.719Z</dcterms:created>
  <dcterms:modified xsi:type="dcterms:W3CDTF">2026-08-17T22:03:09.719Z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