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CC0000"/>
          <w:sz w:val="48"/>
          <w:szCs w:val="48"/>
        </w:rPr>
        <w:t xml:space="preserve">ОБРАЗЕЦ</w:t>
      </w:r>
    </w:p>
    <w:p>
      <w:pPr>
        <w:pStyle w:val="Title"/>
      </w:pPr>
      <w:r>
        <w:t xml:space="preserve">Технико-технологическая карта: йогурт термостатный — ОБРАЗЕЦ</w:t>
      </w:r>
    </w:p>
    <w:p>
      <w:r>
        <w:rPr>
          <w:i/>
          <w:iCs/>
        </w:rPr>
        <w:t xml:space="preserve">Организация: ООО «Молочные традиции» (образец)</w:t>
      </w:r>
    </w:p>
    <w:p>
      <w:pPr>
        <w:pStyle w:val="Heading1"/>
      </w:pPr>
      <w:r>
        <w:t xml:space="preserve">1. Наименование продукции и область применения</w:t>
      </w:r>
    </w:p>
    <w:p>
      <w:r>
        <w:t xml:space="preserve">ТТК распространяется на «йогурт термостатный», вырабатываемый по настоящей карте.</w:t>
      </w:r>
    </w:p>
    <w:p>
      <w:pPr>
        <w:pStyle w:val="Heading1"/>
      </w:pPr>
      <w:r>
        <w:t xml:space="preserve">2. Требования к сырью</w:t>
      </w:r>
    </w:p>
    <w:p>
      <w:r>
        <w:t xml:space="preserve">Требования к сырью и сопроводительным документам; показатели безопасности сырья согласно ТР ТС 021/2011 и ТР ТС 033/2013. Основное сырьё: молоко нормализованное, сухое обезжиренное молоко / молочный белок (для СОМО), закваска (термофильные культуры), фруктовый наполнитель.</w:t>
      </w:r>
    </w:p>
    <w:p>
      <w:pPr>
        <w:pStyle w:val="Heading1"/>
      </w:pPr>
      <w:r>
        <w:t xml:space="preserve">3. Рецептура и нормы закладки</w:t>
      </w:r>
    </w:p>
    <w:p>
      <w:r>
        <w:t xml:space="preserve">Рецептура в пересчёте на партию 1485 кг готового продукта (плановый выход 99 % от массы сырья): молоко нормализованное: 1366,2 кг (нетто 1358,775 кг, потери 0,5 %); сухое обезжиренное молоко / молочный белок (для СОМО): 29,7 кг (нетто 29,7 кг); закваска (термофильные культуры): 44,55 кг (нетто 44,55 кг); фруктовый наполнитель: 118,8 кг (нетто 118,8 кг).</w:t>
      </w:r>
    </w:p>
    <w:p>
      <w:pPr>
        <w:pStyle w:val="Heading1"/>
      </w:pPr>
      <w:r>
        <w:t xml:space="preserve">4. Технологический процесс</w:t>
      </w:r>
    </w:p>
    <w:p>
      <w:r>
        <w:t xml:space="preserve">Последовательность операций и режимы: приёмка молока → нормализация → гомогенизация → пастеризация → охлаждение до температуры заквашивания → внесение закваски → розлив (термостатный) / сквашивание в резервуаре → сквашивание → охлаждение → хранение. Критические режимы: температура 92 ± 2 °C, выдержка 2–8 мин (для термостатного йогурта); температура 40–43 °C до достижения pH ≤ 4,6 (кислотность 75–90 °T); температура продукта 4 ± 2 °C.</w:t>
      </w:r>
    </w:p>
    <w:p>
      <w:pPr>
        <w:pStyle w:val="Heading1"/>
      </w:pPr>
      <w:r>
        <w:t xml:space="preserve">5. Органолептические показатели</w:t>
      </w:r>
    </w:p>
    <w:p>
      <w:r>
        <w:t xml:space="preserve">внешний вид и консистенция — однородная, в меру вязкая; для термостатного — ненарушенный сгусток; вкус и запах — чистые кисломолочные, с привкусом внесённого наполнителя; цвет — молочно-белый или обусловленный наполнителем.</w:t>
      </w:r>
    </w:p>
    <w:p>
      <w:pPr>
        <w:pStyle w:val="Heading1"/>
      </w:pPr>
      <w:r>
        <w:t xml:space="preserve">6. Физико-химические показатели</w:t>
      </w:r>
    </w:p>
    <w:p>
      <w:r>
        <w:t xml:space="preserve">Согласно ТР ТС 033/2013: массовая доля жира — 2,5 % (по рецептуре); массовая доля белка — не менее 3,2 %; СОМО — не менее 9,5 %; кислотность — 75–140 °T.</w:t>
      </w:r>
    </w:p>
    <w:p>
      <w:pPr>
        <w:pStyle w:val="Heading1"/>
      </w:pPr>
      <w:r>
        <w:t xml:space="preserve">7. Микробиологические показатели (безопасность)</w:t>
      </w:r>
    </w:p>
    <w:p>
      <w:r>
        <w:t xml:space="preserve">Согласно ТР ТС 033/2013: молочнокислые микроорганизмы — не менее 1×10⁷ КОЕ/г в течение срока годности; БГКП — не допускаются в 0,01 г; дрожжи и плесени — в пределах ТР ТС 033/2013; патогенные, в т.ч. сальмонеллы — не допускаются в 25 г.</w:t>
      </w:r>
    </w:p>
    <w:p>
      <w:pPr>
        <w:pStyle w:val="Heading1"/>
      </w:pPr>
      <w:r>
        <w:t xml:space="preserve">8. Пищевая ценность и энергетическая ценность</w:t>
      </w:r>
    </w:p>
    <w:p>
      <w:r>
        <w:t xml:space="preserve">На 100 г продукта: белки 3,5 г, жиры 2,5 г, углеводы 11 г, энергетическая ценность 82 ккал.</w:t>
      </w:r>
    </w:p>
    <w:p>
      <w:pPr>
        <w:pStyle w:val="Heading1"/>
      </w:pPr>
      <w:r>
        <w:t xml:space="preserve">9. Сроки годности и условия хранения</w:t>
      </w:r>
    </w:p>
    <w:p>
      <w:r>
        <w:t xml:space="preserve">до 14–30 суток при 4 ± 2 °C в зависимости от упаковки (уточняется по ТИ).</w:t>
      </w:r>
    </w:p>
    <w:p>
      <w:pPr>
        <w:pStyle w:val="Heading1"/>
      </w:pPr>
      <w:r>
        <w:t xml:space="preserve">10. Упаковка</w:t>
      </w:r>
    </w:p>
    <w:p>
      <w:r>
        <w:t xml:space="preserve">Требования к потребительской и транспортной упаковке согласно ТР ТС 005/2011.</w:t>
      </w:r>
    </w:p>
    <w:p>
      <w:pPr>
        <w:pStyle w:val="Heading1"/>
      </w:pPr>
      <w:r>
        <w:t xml:space="preserve">11. Маркировка</w:t>
      </w:r>
    </w:p>
    <w:p>
      <w:r>
        <w:t xml:space="preserve">Требования к маркировке потребительской упаковки согласно ТР ТС 022/2011.</w:t>
      </w:r>
    </w:p>
    <w:p>
      <w:pPr>
        <w:pStyle w:val="Heading1"/>
      </w:pPr>
      <w:r>
        <w:t xml:space="preserve">Рецептура на партию 1485 кг (выход 99 %)</w:t>
      </w:r>
    </w:p>
    <w:p>
      <w:r>
        <w:t xml:space="preserve">• молоко нормализованное: брутто 1366,2 кг, нетто 1358,775 кг, потери 0,5 %</w:t>
      </w:r>
    </w:p>
    <w:p>
      <w:r>
        <w:t xml:space="preserve">• сухое обезжиренное молоко / молочный белок (для СОМО): брутто 29,7 кг, нетто 29,7 кг</w:t>
      </w:r>
    </w:p>
    <w:p>
      <w:r>
        <w:t xml:space="preserve">• закваска (термофильные культуры): брутто 44,55 кг, нетто 44,55 кг</w:t>
      </w:r>
    </w:p>
    <w:p>
      <w:r>
        <w:t xml:space="preserve">• фруктовый наполнитель: брутто 118,8 кг, нетто 118,8 кг</w:t>
      </w:r>
    </w:p>
    <w:p>
      <w:pPr>
        <w:pStyle w:val="Heading1"/>
      </w:pPr>
      <w:r>
        <w:t xml:space="preserve">Органолептические показатели</w:t>
      </w:r>
    </w:p>
    <w:p>
      <w:r>
        <w:t xml:space="preserve">• внешний вид и консистенция: однородная, в меру вязкая; для термостатного — ненарушенный сгусток</w:t>
      </w:r>
    </w:p>
    <w:p>
      <w:r>
        <w:t xml:space="preserve">• вкус и запах: чистые кисломолочные, с привкусом внесённого наполнителя</w:t>
      </w:r>
    </w:p>
    <w:p>
      <w:r>
        <w:t xml:space="preserve">• цвет: молочно-белый или обусловленный наполнителем</w:t>
      </w:r>
    </w:p>
    <w:p>
      <w:pPr>
        <w:pStyle w:val="Heading1"/>
      </w:pPr>
      <w:r>
        <w:t xml:space="preserve">Физико-химические показатели</w:t>
      </w:r>
    </w:p>
    <w:p>
      <w:r>
        <w:t xml:space="preserve">• массовая доля жира: 2,5 % (по рецептуре)</w:t>
      </w:r>
    </w:p>
    <w:p>
      <w:r>
        <w:t xml:space="preserve">• массовая доля белка: не менее 3,2 %</w:t>
      </w:r>
    </w:p>
    <w:p>
      <w:r>
        <w:t xml:space="preserve">• СОМО: не менее 9,5 %</w:t>
      </w:r>
    </w:p>
    <w:p>
      <w:r>
        <w:t xml:space="preserve">• кислотность: 75–140 °T</w:t>
      </w:r>
    </w:p>
    <w:p>
      <w:pPr>
        <w:pStyle w:val="Heading1"/>
      </w:pPr>
      <w:r>
        <w:t xml:space="preserve">Микробиологические показатели безопасности</w:t>
      </w:r>
    </w:p>
    <w:p>
      <w:r>
        <w:t xml:space="preserve">• молочнокислые микроорганизмы: не менее 1×10⁷ КОЕ/г в течение срока годности</w:t>
      </w:r>
    </w:p>
    <w:p>
      <w:r>
        <w:t xml:space="preserve">• БГКП: не допускаются в 0,01 г</w:t>
      </w:r>
    </w:p>
    <w:p>
      <w:r>
        <w:t xml:space="preserve">• дрожжи и плесени: в пределах ТР ТС 033/2013</w:t>
      </w:r>
    </w:p>
    <w:p>
      <w:r>
        <w:t xml:space="preserve">• патогенные, в т.ч. сальмонеллы: не допускаются в 25 г</w:t>
      </w:r>
    </w:p>
    <w:p>
      <w:pPr>
        <w:pStyle w:val="Heading1"/>
      </w:pPr>
      <w:r>
        <w:t xml:space="preserve">Нормативные ссылки</w:t>
      </w:r>
    </w:p>
    <w:p>
      <w:r>
        <w:t xml:space="preserve">— ТР ТС 021/2011</w:t>
      </w:r>
    </w:p>
    <w:p>
      <w:r>
        <w:t xml:space="preserve">— ТР ТС 033/2013</w:t>
      </w:r>
    </w:p>
    <w:p>
      <w:r>
        <w:t xml:space="preserve">— ТР ТС 022/2011</w:t>
      </w:r>
    </w:p>
    <w:p>
      <w:r>
        <w:t xml:space="preserve">— ТР ТС 005/2011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i/>
        <w:iCs/>
        <w:color w:val="666666"/>
        <w:sz w:val="16"/>
        <w:szCs w:val="16"/>
      </w:rPr>
      <w:t xml:space="preserve">Проект документа подготовлен сервисом AI Технолог (ai.milberg.ru). Утверждается и вводится в действие заказчиком.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2026-08-17T22:03:09.682Z</dcterms:created>
  <dcterms:modified xsi:type="dcterms:W3CDTF">2026-08-17T22:03:09.682Z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